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left"/>
      </w:pPr>
      <w:r>
        <w:drawing>
          <wp:inline xmlns:a="http://schemas.openxmlformats.org/drawingml/2006/main" xmlns:pic="http://schemas.openxmlformats.org/drawingml/2006/picture">
            <wp:extent cx="2057400" cy="44577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457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left"/>
      </w:pPr>
      <w:r>
        <w:rPr>
          <w:rFonts w:ascii="Calibri" w:hAnsi="Calibri"/>
          <w:b/>
          <w:color w:val="D6A84B"/>
          <w:sz w:val="18"/>
        </w:rPr>
        <w:t>GESTIÓN EDITORIAL</w:t>
      </w:r>
    </w:p>
    <w:p>
      <w:pPr>
        <w:spacing w:after="120"/>
        <w:jc w:val="left"/>
      </w:pPr>
      <w:r>
        <w:rPr>
          <w:rFonts w:ascii="Calibri" w:hAnsi="Calibri"/>
          <w:b/>
          <w:color w:val="12304A"/>
          <w:sz w:val="42"/>
        </w:rPr>
        <w:t>Carta de rechazo</w:t>
      </w:r>
    </w:p>
    <w:p>
      <w:pPr>
        <w:spacing w:after="240"/>
        <w:jc w:val="left"/>
      </w:pPr>
      <w:r>
        <w:rPr>
          <w:rFonts w:ascii="Calibri" w:hAnsi="Calibri"/>
          <w:i/>
          <w:color w:val="667784"/>
          <w:sz w:val="21"/>
        </w:rPr>
        <w:t>Documento editorial institucional</w:t>
      </w:r>
    </w:p>
    <w:p>
      <w:pPr>
        <w:spacing w:after="240"/>
        <w:pBdr>
          <w:bottom w:val="single" w:sz="18" w:space="1" w:color="168C8C"/>
        </w:pBdr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Campo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Dato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Fecha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[día / mes / año]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Código del manuscrito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[RLPCG-AAAA-NNN]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Título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[título completo del manuscrito]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Autor/a de correspondencia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 completo]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Decisión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No aceptado para publicación</w:t>
            </w:r>
          </w:p>
        </w:tc>
      </w:tr>
    </w:tbl>
    <w:p>
      <w:pPr>
        <w:spacing w:after="0"/>
      </w:pPr>
    </w:p>
    <w:p>
      <w:r>
        <w:t>Estimada/o autora/or de correspondencia:</w:t>
      </w:r>
    </w:p>
    <w:p>
      <w:r>
        <w:t>Tras la evaluación editorial y/o por pares, se ha decidido no aceptar el manuscrito para publicación en RLPCG. La decisión se fundamenta exclusivamente en criterios académicos, metodológicos, éticos, de originalidad y de correspondencia con el alcance de la revista.</w:t>
      </w:r>
    </w:p>
    <w:p>
      <w:pPr>
        <w:pStyle w:val="Heading2"/>
      </w:pPr>
      <w:r>
        <w:t>Fundamento de la decisión</w:t>
      </w:r>
    </w:p>
    <w:p>
      <w:r>
        <w:t>[Sintetizar de manera respetuosa, específica y verificable las razones principales. Adjuntar o transcribir los dictámenes anonimizados cuando corresponda.]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9B1C1C"/>
              </w:rPr>
              <w:t>La decisión puede apelarse únicamente por errores demostrables de procedimiento o de interpretación, no por desacuerdo general con el resultado. La apelación debe presentarse por escrito y con evidencia.</w:t>
            </w:r>
          </w:p>
        </w:tc>
      </w:tr>
    </w:tbl>
    <w:p>
      <w:pPr>
        <w:spacing w:after="0"/>
      </w:pPr>
    </w:p>
    <w:p>
      <w:pPr>
        <w:pStyle w:val="Heading2"/>
      </w:pPr>
      <w:r>
        <w:t>Cierre institucional</w:t>
      </w:r>
    </w:p>
    <w:p>
      <w:r>
        <w:t>Atentamente,</w:t>
      </w:r>
    </w:p>
    <w:p>
      <w:r>
        <w:t>Editor/a en Jefe</w:t>
        <w:br/>
        <w:t>Revista Latinoamericana de Participación Ciudadana y Gobernanza (RLPCG)</w:t>
        <w:br/>
        <w:t>rlpcg@editorial.asesoreseducativos-ec.com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23313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rechazo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