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1828800" cy="39624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LPCG_Logo_v1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3962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Calibri" w:hAnsi="Calibri"/>
          <w:b/>
          <w:color w:val="D6A84B"/>
          <w:sz w:val="18"/>
        </w:rPr>
        <w:t>MANUALES</w:t>
      </w:r>
    </w:p>
    <w:p>
      <w:pPr>
        <w:spacing w:after="120"/>
        <w:jc w:val="center"/>
      </w:pPr>
      <w:r>
        <w:rPr>
          <w:rFonts w:ascii="Calibri" w:hAnsi="Calibri"/>
          <w:b/>
          <w:color w:val="12304A"/>
          <w:sz w:val="50"/>
        </w:rPr>
        <w:t>Manual del autor</w:t>
      </w:r>
    </w:p>
    <w:p>
      <w:pPr>
        <w:spacing w:after="240"/>
        <w:jc w:val="center"/>
      </w:pPr>
      <w:r>
        <w:rPr>
          <w:rFonts w:ascii="Calibri" w:hAnsi="Calibri"/>
          <w:i/>
          <w:color w:val="667784"/>
          <w:sz w:val="21"/>
        </w:rPr>
        <w:t>Guía operativa para preparación, envío, revisión y publicación</w:t>
      </w:r>
    </w:p>
    <w:p>
      <w:pPr>
        <w:spacing w:after="240"/>
        <w:pBdr>
          <w:bottom w:val="single" w:sz="18" w:space="1" w:color="168C8C"/>
        </w:pBdr>
      </w:pPr>
    </w:p>
    <w:p>
      <w:pPr>
        <w:pStyle w:val="Heading1"/>
      </w:pPr>
      <w:r>
        <w:t>1. Propósito y alcance</w:t>
      </w:r>
    </w:p>
    <w:p>
      <w:r>
        <w:t>Este manual orienta la preparación, el envío y el seguimiento de manuscritos en RLPCG. Complementa las políticas publicadas en el sitio oficial; en caso de diferencia, prevalece la versión pública vigente.</w:t>
      </w:r>
    </w:p>
    <w:p>
      <w:pPr>
        <w:pStyle w:val="Heading1"/>
      </w:pPr>
      <w:r>
        <w:t>2. Antes de escribir</w:t>
      </w:r>
    </w:p>
    <w:p>
      <w:pPr>
        <w:pStyle w:val="ListBullet"/>
      </w:pPr>
      <w:r>
        <w:t>Confirme la correspondencia con participación ciudadana, gobernanza democrática, control social, transparencia, políticas públicas, educación ciudadana o líneas afines.</w:t>
      </w:r>
    </w:p>
    <w:p>
      <w:pPr>
        <w:pStyle w:val="ListBullet"/>
      </w:pPr>
      <w:r>
        <w:t>Seleccione el tipo de contribución y formule una pregunta u objetivo explícito.</w:t>
      </w:r>
    </w:p>
    <w:p>
      <w:pPr>
        <w:pStyle w:val="ListBullet"/>
      </w:pPr>
      <w:r>
        <w:t>Asegure permisos, aprobación ética, consentimiento y un plan responsable para datos y materiales.</w:t>
      </w:r>
    </w:p>
    <w:p>
      <w:pPr>
        <w:pStyle w:val="ListBullet"/>
      </w:pPr>
      <w:r>
        <w:t>Defina la autoría tempranamente y documente contribuciones CRediT.</w:t>
      </w:r>
    </w:p>
    <w:p>
      <w:pPr>
        <w:pStyle w:val="Heading1"/>
      </w:pPr>
      <w:r>
        <w:t>3. Preparación del manuscrito</w:t>
      </w:r>
    </w:p>
    <w:p>
      <w:pPr>
        <w:pStyle w:val="ListNumber"/>
      </w:pPr>
      <w:r>
        <w:t>Use la plantilla institucional y mantenga el archivo editable.</w:t>
      </w:r>
    </w:p>
    <w:p>
      <w:pPr>
        <w:pStyle w:val="ListNumber"/>
      </w:pPr>
      <w:r>
        <w:t>Incluya títulos, resúmenes y palabras clave en español e inglés.</w:t>
      </w:r>
    </w:p>
    <w:p>
      <w:pPr>
        <w:pStyle w:val="ListNumber"/>
      </w:pPr>
      <w:r>
        <w:t>Presente método reproducible, resultados verificables, discusión crítica y conclusiones proporcionales.</w:t>
      </w:r>
    </w:p>
    <w:p>
      <w:pPr>
        <w:pStyle w:val="ListNumber"/>
      </w:pPr>
      <w:r>
        <w:t>Aplique APA 7 y compruebe cada DOI o URL.</w:t>
      </w:r>
    </w:p>
    <w:p>
      <w:pPr>
        <w:pStyle w:val="ListNumber"/>
      </w:pPr>
      <w:r>
        <w:t>Prepare una versión anónima sin nombres, afiliaciones, agradecimientos identificables ni metadatos de autor.</w:t>
      </w:r>
    </w:p>
    <w:p>
      <w:pPr>
        <w:pStyle w:val="Heading1"/>
      </w:pPr>
      <w:r>
        <w:t>4. Declaraciones obligatorias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Declaración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Contenido mínimo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Originalidad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Exclusividad, versiones previas y ausencia de duplicación.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Autoría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Orden, aprobación y contribuciones CRediT.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Conflictos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Relaciones relevantes o ausencia expresa.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Financiamiento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Entidad, código y rol; o ausencia.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IA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Herramienta, finalidad, alcance y control humano; o no uso.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Datos y ética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Disponibilidad, restricciones, comité y consentimiento.</w:t>
            </w:r>
          </w:p>
        </w:tc>
      </w:tr>
    </w:tbl>
    <w:p>
      <w:pPr>
        <w:spacing w:after="0"/>
      </w:pPr>
    </w:p>
    <w:p>
      <w:pPr>
        <w:pStyle w:val="Heading1"/>
      </w:pPr>
      <w:r>
        <w:t>5. Envío en OJS</w:t>
      </w:r>
    </w:p>
    <w:p>
      <w:pPr>
        <w:pStyle w:val="ListNumber"/>
      </w:pPr>
      <w:r>
        <w:t>Regístrese o inicie sesión con datos reales y ORCID cuando esté disponible.</w:t>
      </w:r>
    </w:p>
    <w:p>
      <w:pPr>
        <w:pStyle w:val="ListNumber"/>
      </w:pPr>
      <w:r>
        <w:t>Inicie un nuevo envío, seleccione idioma y sección.</w:t>
      </w:r>
    </w:p>
    <w:p>
      <w:pPr>
        <w:pStyle w:val="ListNumber"/>
      </w:pPr>
      <w:r>
        <w:t>Acepte requisitos y políticas aplicables.</w:t>
      </w:r>
    </w:p>
    <w:p>
      <w:pPr>
        <w:pStyle w:val="ListNumber"/>
      </w:pPr>
      <w:r>
        <w:t>Cargue manuscrito anónimo y documentos complementarios con rótulos correctos.</w:t>
      </w:r>
    </w:p>
    <w:p>
      <w:pPr>
        <w:pStyle w:val="ListNumber"/>
      </w:pPr>
      <w:r>
        <w:t>Complete metadatos de todas las personas autoras sin abreviaturas inconsistentes.</w:t>
      </w:r>
    </w:p>
    <w:p>
      <w:pPr>
        <w:pStyle w:val="ListNumber"/>
      </w:pPr>
      <w:r>
        <w:t>Revise el resumen final y confirme el envío.</w:t>
      </w:r>
    </w:p>
    <w:p>
      <w:pPr>
        <w:pStyle w:val="Heading1"/>
      </w:pPr>
      <w:r>
        <w:t>6. Evaluación y revisión</w:t>
      </w:r>
    </w:p>
    <w:p>
      <w:r>
        <w:t>La revista realiza verificación inicial y revisión doble ciego. Responda a cada observación con precisión, indique dónde cambió el texto y justifique respetuosamente cualquier recomendación no incorporada. Una solicitud de cambios no equivale a aceptación.</w:t>
      </w:r>
    </w:p>
    <w:p>
      <w:pPr>
        <w:pStyle w:val="Heading1"/>
      </w:pPr>
      <w:r>
        <w:t>7. Producción y publicación</w:t>
      </w:r>
    </w:p>
    <w:p>
      <w:r>
        <w:t>Tras la aceptación se normalizan metadatos, estilo y pruebas. Las correcciones de prueba se limitan a errores de producción. La referencia definitiva solo existe después de la publicación efectiva.</w:t>
      </w:r>
    </w:p>
    <w:p>
      <w:pPr>
        <w:pStyle w:val="Heading1"/>
      </w:pPr>
      <w:r>
        <w:t>8. Comunicación y apelaciones</w:t>
      </w:r>
    </w:p>
    <w:p>
      <w:r>
        <w:t>Use el flujo de OJS y el correo institucional. Las apelaciones deben identificar un error concreto de procedimiento o evidencia no considerada. Quejas éticas se tramitan con confidencialidad y sin represalias.</w:t>
      </w:r>
    </w:p>
    <w:p>
      <w:pPr>
        <w:pStyle w:val="Heading1"/>
      </w:pPr>
      <w:r>
        <w:t>9. Lista final</w:t>
      </w:r>
    </w:p>
    <w:p>
      <w:pPr>
        <w:pStyle w:val="ListBullet"/>
      </w:pPr>
      <w:r>
        <w:t>Archivo anónimo y editable.</w:t>
      </w:r>
    </w:p>
    <w:p>
      <w:pPr>
        <w:pStyle w:val="ListBullet"/>
      </w:pPr>
      <w:r>
        <w:t>Metadatos bilingües completos.</w:t>
      </w:r>
    </w:p>
    <w:p>
      <w:pPr>
        <w:pStyle w:val="ListBullet"/>
      </w:pPr>
      <w:r>
        <w:t>Declaraciones firmadas.</w:t>
      </w:r>
    </w:p>
    <w:p>
      <w:pPr>
        <w:pStyle w:val="ListBullet"/>
      </w:pPr>
      <w:r>
        <w:t>Referencias y enlaces verificados.</w:t>
      </w:r>
    </w:p>
    <w:p>
      <w:pPr>
        <w:pStyle w:val="ListBullet"/>
      </w:pPr>
      <w:r>
        <w:t>Datos, ética y permisos documentados.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color w:val="667784"/>
        <w:sz w:val="17"/>
      </w:rPr>
      <w:t xml:space="preserve">https://rlpcg.org/index.php/rlpcg  |  </w:t>
    </w:r>
    <w:r>
      <w:rPr>
        <w:rFonts w:ascii="Calibri" w:hAnsi="Calibri"/>
        <w:color w:val="667784"/>
        <w:sz w:val="18"/>
      </w:rPr>
      <w:t xml:space="preserve">Página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Calibri" w:hAnsi="Calibri"/>
        <w:b/>
        <w:color w:val="667784"/>
        <w:sz w:val="17"/>
      </w:rPr>
      <w:t>RLPCG  |  Documentación editorial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23313D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12304A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168C8C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2304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Manual del autor</dc:title>
  <dc:subject>Documentación editorial RLPCG</dc:subject>
  <dc:creator>Asesores Educativos S.A.S.</dc:creator>
  <cp:keywords>RLPCG; OJS; gestión editorial; revista científica</cp:keywords>
  <dc:description>Documento institucional editable. Verifique la versión vigente en el sitio oficial.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