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1828800" cy="39624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LPCG_Logo_v1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3962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Calibri" w:hAnsi="Calibri"/>
          <w:b/>
          <w:color w:val="D6A84B"/>
          <w:sz w:val="18"/>
        </w:rPr>
        <w:t>MANUALES</w:t>
      </w:r>
    </w:p>
    <w:p>
      <w:pPr>
        <w:spacing w:after="120"/>
        <w:jc w:val="center"/>
      </w:pPr>
      <w:r>
        <w:rPr>
          <w:rFonts w:ascii="Calibri" w:hAnsi="Calibri"/>
          <w:b/>
          <w:color w:val="12304A"/>
          <w:sz w:val="50"/>
        </w:rPr>
        <w:t>Manual del editor</w:t>
      </w:r>
    </w:p>
    <w:p>
      <w:pPr>
        <w:spacing w:after="240"/>
        <w:jc w:val="center"/>
      </w:pPr>
      <w:r>
        <w:rPr>
          <w:rFonts w:ascii="Calibri" w:hAnsi="Calibri"/>
          <w:i/>
          <w:color w:val="667784"/>
          <w:sz w:val="21"/>
        </w:rPr>
        <w:t>Procedimiento para evaluación, decisión, producción e integridad</w:t>
      </w:r>
    </w:p>
    <w:p>
      <w:pPr>
        <w:spacing w:after="240"/>
        <w:pBdr>
          <w:bottom w:val="single" w:sz="18" w:space="1" w:color="168C8C"/>
        </w:pBdr>
      </w:pPr>
    </w:p>
    <w:p>
      <w:pPr>
        <w:pStyle w:val="Heading1"/>
      </w:pPr>
      <w:r>
        <w:t>1. Principios de actuación</w:t>
      </w:r>
    </w:p>
    <w:p>
      <w:pPr>
        <w:pStyle w:val="ListBullet"/>
      </w:pPr>
      <w:r>
        <w:t>Independencia editorial frente a intereses comerciales, personales o institucionales.</w:t>
      </w:r>
    </w:p>
    <w:p>
      <w:pPr>
        <w:pStyle w:val="ListBullet"/>
      </w:pPr>
      <w:r>
        <w:t>Decisiones basadas en pertinencia, calidad, integridad y evidencia.</w:t>
      </w:r>
    </w:p>
    <w:p>
      <w:pPr>
        <w:pStyle w:val="ListBullet"/>
      </w:pPr>
      <w:r>
        <w:t>Trato equitativo, confidencialidad, trazabilidad y oportunidad.</w:t>
      </w:r>
    </w:p>
    <w:p>
      <w:pPr>
        <w:pStyle w:val="ListBullet"/>
      </w:pPr>
      <w:r>
        <w:t>Recusación inmediata ante conflictos de interés.</w:t>
      </w:r>
    </w:p>
    <w:p>
      <w:pPr>
        <w:pStyle w:val="Heading1"/>
      </w:pPr>
      <w:r>
        <w:t>2. Control de entrada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Control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Acción editorial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Alcance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Confirmar ajuste temático y tipo de contribución.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Expediente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Verificar anonimización, metadatos, archivos y declaraciones.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Integridad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Revisar similitud con criterio humano, ética, autoría y datos.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Calidad mínima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Valorar claridad, aporte, método y legibilidad.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Decisión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Continuar, devolver para completar o rechazar con razón documentada.</w:t>
            </w:r>
          </w:p>
        </w:tc>
      </w:tr>
    </w:tbl>
    <w:p>
      <w:pPr>
        <w:spacing w:after="0"/>
      </w:pPr>
    </w:p>
    <w:p>
      <w:pPr>
        <w:pStyle w:val="Heading1"/>
      </w:pPr>
      <w:r>
        <w:t>3. Selección de revisores</w:t>
      </w:r>
    </w:p>
    <w:p>
      <w:pPr>
        <w:pStyle w:val="ListNumber"/>
      </w:pPr>
      <w:r>
        <w:t>Identificar experiencia demostrable y diversidad pertinente.</w:t>
      </w:r>
    </w:p>
    <w:p>
      <w:pPr>
        <w:pStyle w:val="ListNumber"/>
      </w:pPr>
      <w:r>
        <w:t>Excluir conflictos institucionales, personales, financieros o de colaboración reciente.</w:t>
      </w:r>
    </w:p>
    <w:p>
      <w:pPr>
        <w:pStyle w:val="ListNumber"/>
      </w:pPr>
      <w:r>
        <w:t>Invitar con resumen, plazo, política de confidencialidad y declaración de conflictos.</w:t>
      </w:r>
    </w:p>
    <w:p>
      <w:pPr>
        <w:pStyle w:val="ListNumber"/>
      </w:pPr>
      <w:r>
        <w:t>Mantener al menos dos dictámenes independientes cuando el tipo de manuscrito lo requiera.</w:t>
      </w:r>
    </w:p>
    <w:p>
      <w:pPr>
        <w:pStyle w:val="ListNumber"/>
      </w:pPr>
      <w:r>
        <w:t>Sustituir revisores inactivos sin revelar identidades.</w:t>
      </w:r>
    </w:p>
    <w:p>
      <w:pPr>
        <w:pStyle w:val="Heading1"/>
      </w:pPr>
      <w:r>
        <w:t>4. Gestión de dictámenes</w:t>
      </w:r>
    </w:p>
    <w:p>
      <w:r>
        <w:t>Evalúe la calidad del razonamiento, no haga conteo mecánico de recomendaciones. Elimine expresiones ofensivas o datos identificables antes de compartir comentarios. Solicite aclaración si un informe es insuficiente.</w:t>
      </w:r>
    </w:p>
    <w:p>
      <w:pPr>
        <w:pStyle w:val="Heading1"/>
      </w:pPr>
      <w:r>
        <w:t>5. Decisiones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Decisión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Criterio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Aceptar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No quedan objeciones sustantivas y se cumplen requisitos.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Correcciones menores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Cambios delimitados sin nueva construcción central.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Correcciones mayores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Cambios sustantivos que requieren nueva evaluación.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Rechazar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Problemas no subsanables, falta de aporte, integridad o alcance.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Retirar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Solicitud válida del autor antes de publicación, documentada.</w:t>
            </w:r>
          </w:p>
        </w:tc>
      </w:tr>
    </w:tbl>
    <w:p>
      <w:pPr>
        <w:spacing w:after="0"/>
      </w:pPr>
    </w:p>
    <w:p>
      <w:pPr>
        <w:pStyle w:val="Heading1"/>
      </w:pPr>
      <w:r>
        <w:t>6. Producción</w:t>
      </w:r>
    </w:p>
    <w:p>
      <w:pPr>
        <w:pStyle w:val="ListNumber"/>
      </w:pPr>
      <w:r>
        <w:t>Confirmar aceptación y expediente jurídico-editorial.</w:t>
      </w:r>
    </w:p>
    <w:p>
      <w:pPr>
        <w:pStyle w:val="ListNumber"/>
      </w:pPr>
      <w:r>
        <w:t>Normalizar metadatos, referencias, tablas, figuras y accesibilidad.</w:t>
      </w:r>
    </w:p>
    <w:p>
      <w:pPr>
        <w:pStyle w:val="ListNumber"/>
      </w:pPr>
      <w:r>
        <w:t>Preparar galeradas y obtener aprobación del autor de correspondencia.</w:t>
      </w:r>
    </w:p>
    <w:p>
      <w:pPr>
        <w:pStyle w:val="ListNumber"/>
      </w:pPr>
      <w:r>
        <w:t>Asignar volumen, número, páginas/e-location y DOI solo cuando estén verificados.</w:t>
      </w:r>
    </w:p>
    <w:p>
      <w:pPr>
        <w:pStyle w:val="ListNumber"/>
      </w:pPr>
      <w:r>
        <w:t>Publicar y comprobar enlaces, PDF, OAI, buscadores y preservación.</w:t>
      </w:r>
    </w:p>
    <w:p>
      <w:pPr>
        <w:pStyle w:val="Heading1"/>
      </w:pPr>
      <w:r>
        <w:t>7. Ética posterior a publicación</w:t>
      </w:r>
    </w:p>
    <w:p>
      <w:r>
        <w:t>Las denuncias se investigan con evidencia, confidencialidad y oportunidad de respuesta. Correcciones, expresiones de preocupación y retractaciones deben ser visibles, fechadas, explicadas y enlazadas bidireccionalmente.</w:t>
      </w:r>
    </w:p>
    <w:p>
      <w:pPr>
        <w:pStyle w:val="Heading1"/>
      </w:pPr>
      <w:r>
        <w:t>8. Registro obligatorio</w:t>
      </w:r>
    </w:p>
    <w:p>
      <w:r>
        <w:t>El expediente debe conservar fechas y responsables; invitaciones, recusaciones y dictámenes; fundamento de las decisiones y versiones evaluadas; cambios de autoría, quejas, apelaciones e incidentes; y comprobaciones finales de publicación.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color w:val="667784"/>
        <w:sz w:val="17"/>
      </w:rPr>
      <w:t xml:space="preserve">https://rlpcg.org/index.php/rlpcg  |  </w:t>
    </w:r>
    <w:r>
      <w:rPr>
        <w:rFonts w:ascii="Calibri" w:hAnsi="Calibri"/>
        <w:color w:val="667784"/>
        <w:sz w:val="18"/>
      </w:rPr>
      <w:t xml:space="preserve">Página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Calibri" w:hAnsi="Calibri"/>
        <w:b/>
        <w:color w:val="667784"/>
        <w:sz w:val="17"/>
      </w:rPr>
      <w:t>RLPCG  |  Documentación editorial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23313D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12304A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168C8C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2304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Manual del editor</dc:title>
  <dc:subject>Documentación editorial RLPCG</dc:subject>
  <dc:creator>Asesores Educativos S.A.S.</dc:creator>
  <cp:keywords>RLPCG; OJS; gestión editorial; revista científica</cp:keywords>
  <dc:description>Documento institucional editable. Verifique la versión vigente en el sitio oficial.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